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黄柏镇黄柏村产业发展配套设施项目</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项目编号：皖TJ-JS25026</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潜山市黄柏镇人民政府</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五</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408E7874">
      <w:pPr>
        <w:spacing w:before="139" w:after="100" w:afterAutospacing="1" w:line="20" w:lineRule="atLeast"/>
        <w:ind w:left="2284" w:right="103" w:hanging="2159"/>
        <w:jc w:val="center"/>
        <w:rPr>
          <w:rFonts w:hint="eastAsia" w:ascii="宋体" w:hAnsi="宋体" w:eastAsia="宋体" w:cs="宋体"/>
          <w:b/>
          <w:bCs/>
          <w:color w:val="auto"/>
          <w:sz w:val="28"/>
          <w:szCs w:val="28"/>
          <w:highlight w:val="none"/>
          <w:lang w:eastAsia="zh-CN" w:bidi="ar"/>
        </w:rPr>
      </w:pPr>
      <w:r>
        <w:rPr>
          <w:rFonts w:hint="eastAsia" w:ascii="宋体" w:hAnsi="宋体" w:eastAsia="宋体" w:cs="宋体"/>
          <w:b/>
          <w:bCs/>
          <w:color w:val="auto"/>
          <w:sz w:val="28"/>
          <w:szCs w:val="28"/>
          <w:highlight w:val="none"/>
          <w:lang w:eastAsia="zh-CN" w:bidi="ar"/>
        </w:rPr>
        <w:t>黄柏镇黄柏村产业发展配套设施项目</w:t>
      </w: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潜山市黄柏镇人民政府</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黄柏镇黄柏村产业发展配套设施项目</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潜山市黄柏镇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皖TJ-JS25026</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黄柏镇黄柏村产业发展配套设施项目</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潜山市黄柏镇境内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536859.72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511666.73元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本次招标内容为黄柏镇黄柏村产业发展配套设施项目，主要建设内容为</w:t>
      </w:r>
      <w:r>
        <w:rPr>
          <w:rFonts w:hint="eastAsia" w:ascii="宋体" w:hAnsi="宋体"/>
          <w:sz w:val="24"/>
          <w:lang w:val="en-US" w:eastAsia="zh-CN"/>
        </w:rPr>
        <w:t>新建200余平米框架结构厂房，并建设冷鲜库、烘干设备、展示厅及配套水电、门窗、室内外装修等基础设施。</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90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4B37B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1.参与投标供应商须具备住房城乡建设主管部门颁发的建筑工程施工总承包三级(或以上)资质。且具有有效的安全生产许可证。</w:t>
      </w:r>
    </w:p>
    <w:p w14:paraId="07AE7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40B2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vertAlign w:val="baseline"/>
          <w:lang w:val="en-US" w:eastAsia="zh-CN" w:bidi="ar"/>
        </w:rPr>
        <w:t>建筑工程专业二级(或以上)</w:t>
      </w:r>
      <w:r>
        <w:rPr>
          <w:rFonts w:hint="eastAsia" w:ascii="宋体" w:hAnsi="宋体" w:eastAsia="宋体" w:cs="宋体"/>
          <w:snapToGrid w:val="0"/>
          <w:color w:val="auto"/>
          <w:kern w:val="0"/>
          <w:sz w:val="24"/>
          <w:szCs w:val="24"/>
          <w:vertAlign w:val="baseline"/>
          <w:lang w:val="en-US" w:eastAsia="zh-CN" w:bidi="ar"/>
        </w:rPr>
        <w:t>注册建造师执业资格；</w:t>
      </w:r>
    </w:p>
    <w:p w14:paraId="67E37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②取得</w:t>
      </w:r>
      <w:r>
        <w:rPr>
          <w:rFonts w:hint="eastAsia" w:ascii="宋体" w:hAnsi="宋体" w:eastAsia="宋体" w:cs="宋体"/>
          <w:b/>
          <w:bCs/>
          <w:snapToGrid w:val="0"/>
          <w:color w:val="auto"/>
          <w:kern w:val="0"/>
          <w:sz w:val="24"/>
          <w:szCs w:val="24"/>
          <w:vertAlign w:val="baseline"/>
          <w:lang w:val="en-US" w:eastAsia="zh-CN" w:bidi="ar"/>
        </w:rPr>
        <w:t>建设行政主管部门颁发的安全生产考核合格证B证</w:t>
      </w:r>
      <w:r>
        <w:rPr>
          <w:rFonts w:hint="eastAsia" w:ascii="宋体" w:hAnsi="宋体" w:eastAsia="宋体" w:cs="宋体"/>
          <w:snapToGrid w:val="0"/>
          <w:color w:val="auto"/>
          <w:kern w:val="0"/>
          <w:sz w:val="24"/>
          <w:szCs w:val="24"/>
          <w:vertAlign w:val="baseline"/>
          <w:lang w:val="en-US" w:eastAsia="zh-CN" w:bidi="ar"/>
        </w:rPr>
        <w:t>；</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③投标截止日未在其他项目担任项目经理，或虽在其他项目上担任项目经理岗位，但承诺在本项目中标后合同签订(合同签订在法定时间为数据电文</w:t>
      </w:r>
      <w:bookmarkStart w:id="1" w:name="_GoBack"/>
      <w:bookmarkEnd w:id="1"/>
      <w:r>
        <w:rPr>
          <w:rFonts w:hint="eastAsia" w:ascii="宋体" w:hAnsi="宋体" w:eastAsia="宋体" w:cs="宋体"/>
          <w:snapToGrid w:val="0"/>
          <w:color w:val="auto"/>
          <w:kern w:val="0"/>
          <w:sz w:val="24"/>
          <w:szCs w:val="24"/>
          <w:vertAlign w:val="baseline"/>
          <w:lang w:val="en-US" w:eastAsia="zh-CN" w:bidi="ar"/>
        </w:rPr>
        <w:t>中标通知书发放之日起30日内)前能够从其他项目变更至本项目并全面履约。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2025</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15</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潜山市黄柏镇人民政府</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取得潜山市黄柏镇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14</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潜山市黄柏镇人民政府</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潜山市黄柏镇人民政府</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潜山市黄柏镇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严先生</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177 6088 5787</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黄柏镇黄柏村产业发展配套设施项目</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：皖TJ-JS25026</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潜山市黄柏镇人民政府</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536859.72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付款方式（支付进度）：</w:t>
      </w:r>
      <w:r>
        <w:rPr>
          <w:rFonts w:hint="eastAsia" w:ascii="宋体" w:hAnsi="宋体" w:eastAsia="宋体" w:cs="宋体"/>
          <w:b/>
          <w:bCs/>
          <w:color w:val="auto"/>
          <w:spacing w:val="-6"/>
          <w:sz w:val="24"/>
          <w:szCs w:val="24"/>
          <w:lang w:val="en-US" w:eastAsia="zh-CN"/>
        </w:rPr>
        <w:t>承包范围内工程竣工验收合格，竣工资料备案后（非承包人原因不具备竣工备案条件除外），付至合同价款的85%，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90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5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511666.73</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3AEC7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vertAlign w:val="baseline"/>
          <w:lang w:val="en-US" w:eastAsia="zh-CN" w:bidi="ar"/>
        </w:rPr>
        <w:t>建筑工程专业二级(或以上)</w:t>
      </w:r>
      <w:r>
        <w:rPr>
          <w:rFonts w:hint="eastAsia" w:ascii="宋体" w:hAnsi="宋体" w:eastAsia="宋体" w:cs="宋体"/>
          <w:snapToGrid w:val="0"/>
          <w:color w:val="auto"/>
          <w:kern w:val="0"/>
          <w:sz w:val="24"/>
          <w:szCs w:val="24"/>
          <w:vertAlign w:val="baseline"/>
          <w:lang w:val="en-US" w:eastAsia="zh-CN" w:bidi="ar"/>
        </w:rPr>
        <w:t>注册建造师执业资格；</w:t>
      </w:r>
    </w:p>
    <w:p w14:paraId="7B109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②取得</w:t>
      </w:r>
      <w:r>
        <w:rPr>
          <w:rFonts w:hint="eastAsia" w:ascii="宋体" w:hAnsi="宋体" w:eastAsia="宋体" w:cs="宋体"/>
          <w:b/>
          <w:bCs/>
          <w:snapToGrid w:val="0"/>
          <w:color w:val="auto"/>
          <w:kern w:val="0"/>
          <w:sz w:val="24"/>
          <w:szCs w:val="24"/>
          <w:vertAlign w:val="baseline"/>
          <w:lang w:val="en-US" w:eastAsia="zh-CN" w:bidi="ar"/>
        </w:rPr>
        <w:t>建设行政主管部门颁发的安全生产考核合格证B证</w:t>
      </w:r>
      <w:r>
        <w:rPr>
          <w:rFonts w:hint="eastAsia" w:ascii="宋体" w:hAnsi="宋体" w:eastAsia="宋体" w:cs="宋体"/>
          <w:snapToGrid w:val="0"/>
          <w:color w:val="auto"/>
          <w:kern w:val="0"/>
          <w:sz w:val="24"/>
          <w:szCs w:val="24"/>
          <w:vertAlign w:val="baseline"/>
          <w:lang w:val="en-US" w:eastAsia="zh-CN" w:bidi="ar"/>
        </w:rPr>
        <w:t>；</w:t>
      </w:r>
    </w:p>
    <w:p w14:paraId="28580A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合同签订在法定时间为数据电文中标通知书发放之日起30日内)前能够从其他项目变更至本项目并全面履约。</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274A903B">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1、委托方提供施工方案；</w:t>
      </w:r>
    </w:p>
    <w:p w14:paraId="2162571A">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2、2018版《安徽省建设工程工程量清单计价办法》；</w:t>
      </w:r>
    </w:p>
    <w:p w14:paraId="7EA1B118">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3、2018版《安徽省建设工程费用定额》；</w:t>
      </w:r>
    </w:p>
    <w:p w14:paraId="0A70E18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4、2018版《安徽省建设工程施工机械台班费用编制规则》；</w:t>
      </w:r>
    </w:p>
    <w:p w14:paraId="7BAF0086">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5、2018版《安徽省建设工程计价定额(共用册）》；</w:t>
      </w:r>
    </w:p>
    <w:p w14:paraId="123BFA5C">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6、2018版《安徽省建筑工程计价定额》；</w:t>
      </w:r>
    </w:p>
    <w:p w14:paraId="0EEADF50">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7、2018版《安徽省装饰装修工程计价定额》；</w:t>
      </w:r>
    </w:p>
    <w:p w14:paraId="30A44D2B">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8、2018版《安徽省安装工程计价定额》；</w:t>
      </w:r>
    </w:p>
    <w:p w14:paraId="0F7D90A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9、2018版《安徽省市政工程计价定额》；</w:t>
      </w:r>
    </w:p>
    <w:p w14:paraId="4A245F3A">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10、2018版《安徽省园林绿化工程计价定额》</w:t>
      </w:r>
    </w:p>
    <w:p w14:paraId="3E04465B">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11、安徽省建设工程计价依据动态调整（第1期）；</w:t>
      </w:r>
    </w:p>
    <w:p w14:paraId="6B049CA6">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12、材料价格：执行2025年6（期）月份安庆市工程造价信息简讯（潜山市部分），缺少的材料价格执行市场价，投标报价时请自主报价；</w:t>
      </w:r>
    </w:p>
    <w:p w14:paraId="475407C6">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13、安徽省建设工程造价管理总站颁布的造价〔2019〕7 号文“关于调整我省现行建设工程计价依据增值税税率的通知”；</w:t>
      </w:r>
    </w:p>
    <w:p w14:paraId="09E94203">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14、人工费执行安庆市人工信息价的通知(综合人工按156.5元/工日）；</w:t>
      </w:r>
    </w:p>
    <w:p w14:paraId="613F8E2E">
      <w:pPr>
        <w:spacing w:line="480" w:lineRule="exact"/>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15、工程量清单计价编制的其它有关资料。</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1C6FC5"/>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03EDE"/>
    <w:rsid w:val="09A96036"/>
    <w:rsid w:val="09BE234F"/>
    <w:rsid w:val="09CD685D"/>
    <w:rsid w:val="09D122E9"/>
    <w:rsid w:val="09DC47EA"/>
    <w:rsid w:val="09F91840"/>
    <w:rsid w:val="0A0855DF"/>
    <w:rsid w:val="0A424F95"/>
    <w:rsid w:val="0A6767AA"/>
    <w:rsid w:val="0AA3355A"/>
    <w:rsid w:val="0AAE262A"/>
    <w:rsid w:val="0ABB4D47"/>
    <w:rsid w:val="0B320D04"/>
    <w:rsid w:val="0B64718D"/>
    <w:rsid w:val="0B6947A3"/>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5441BC"/>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023FB5"/>
    <w:rsid w:val="18153CE9"/>
    <w:rsid w:val="181949BB"/>
    <w:rsid w:val="18273A1C"/>
    <w:rsid w:val="182A0E16"/>
    <w:rsid w:val="184C7E9A"/>
    <w:rsid w:val="185145F5"/>
    <w:rsid w:val="1853036D"/>
    <w:rsid w:val="18626802"/>
    <w:rsid w:val="187A7FF0"/>
    <w:rsid w:val="187F5606"/>
    <w:rsid w:val="18B2778A"/>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A51E7"/>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1FEA0867"/>
    <w:rsid w:val="20024DEA"/>
    <w:rsid w:val="200A1C59"/>
    <w:rsid w:val="20330CED"/>
    <w:rsid w:val="203E7B55"/>
    <w:rsid w:val="20AE4CDA"/>
    <w:rsid w:val="20C55B80"/>
    <w:rsid w:val="20CF4C51"/>
    <w:rsid w:val="20D67D8D"/>
    <w:rsid w:val="20D83B05"/>
    <w:rsid w:val="212C5BFF"/>
    <w:rsid w:val="212E5E1B"/>
    <w:rsid w:val="21472A39"/>
    <w:rsid w:val="216A644A"/>
    <w:rsid w:val="21843C8D"/>
    <w:rsid w:val="21E0264C"/>
    <w:rsid w:val="21F7620D"/>
    <w:rsid w:val="221C2118"/>
    <w:rsid w:val="22525B39"/>
    <w:rsid w:val="22596EC8"/>
    <w:rsid w:val="226118D9"/>
    <w:rsid w:val="226715E5"/>
    <w:rsid w:val="22B8599C"/>
    <w:rsid w:val="230706D2"/>
    <w:rsid w:val="23112E90"/>
    <w:rsid w:val="23182050"/>
    <w:rsid w:val="231D6147"/>
    <w:rsid w:val="23243152"/>
    <w:rsid w:val="233A4603"/>
    <w:rsid w:val="23716593"/>
    <w:rsid w:val="23A3664D"/>
    <w:rsid w:val="23BA1BE8"/>
    <w:rsid w:val="23C94C24"/>
    <w:rsid w:val="242F7266"/>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58774E"/>
    <w:rsid w:val="27627E33"/>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C83BF9"/>
    <w:rsid w:val="31F9550A"/>
    <w:rsid w:val="32026C34"/>
    <w:rsid w:val="320B7DBF"/>
    <w:rsid w:val="320F30FF"/>
    <w:rsid w:val="32533470"/>
    <w:rsid w:val="32544FB6"/>
    <w:rsid w:val="325B4596"/>
    <w:rsid w:val="329201BA"/>
    <w:rsid w:val="329938F4"/>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4F10E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A62BA0"/>
    <w:rsid w:val="64EC0EFA"/>
    <w:rsid w:val="65167D25"/>
    <w:rsid w:val="65195110"/>
    <w:rsid w:val="65202952"/>
    <w:rsid w:val="65501489"/>
    <w:rsid w:val="6578278E"/>
    <w:rsid w:val="657B5DDA"/>
    <w:rsid w:val="65884610"/>
    <w:rsid w:val="65D35C16"/>
    <w:rsid w:val="65D8147F"/>
    <w:rsid w:val="66065FEC"/>
    <w:rsid w:val="660A5ADC"/>
    <w:rsid w:val="66230554"/>
    <w:rsid w:val="665E7BD6"/>
    <w:rsid w:val="668D2269"/>
    <w:rsid w:val="66D856FE"/>
    <w:rsid w:val="66E3647D"/>
    <w:rsid w:val="66F95B50"/>
    <w:rsid w:val="674A1F08"/>
    <w:rsid w:val="67576F71"/>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6115F"/>
    <w:rsid w:val="6AE83F12"/>
    <w:rsid w:val="6AF43443"/>
    <w:rsid w:val="6B145035"/>
    <w:rsid w:val="6B160A7F"/>
    <w:rsid w:val="6B623CC4"/>
    <w:rsid w:val="6B8579B3"/>
    <w:rsid w:val="6B885214"/>
    <w:rsid w:val="6B8C0D41"/>
    <w:rsid w:val="6BB9765C"/>
    <w:rsid w:val="6BE20961"/>
    <w:rsid w:val="6BF80185"/>
    <w:rsid w:val="6C240F7A"/>
    <w:rsid w:val="6C2E004A"/>
    <w:rsid w:val="6CA1218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E50A20"/>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BF2259"/>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3106D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6134</Words>
  <Characters>6590</Characters>
  <Lines>57</Lines>
  <Paragraphs>16</Paragraphs>
  <TotalTime>39</TotalTime>
  <ScaleCrop>false</ScaleCrop>
  <LinksUpToDate>false</LinksUpToDate>
  <CharactersWithSpaces>6672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2025-08-11T00:43:31Z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2052-12.1.0.21915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